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F049C" w:rsidRDefault="00DC3817">
      <w:pPr>
        <w:spacing w:before="120" w:after="120"/>
        <w:jc w:val="center"/>
        <w:rPr>
          <w:rFonts w:ascii="Cambria" w:eastAsia="Cambria" w:hAnsi="Cambria" w:cs="Cambria"/>
          <w:b/>
          <w:color w:val="222222"/>
        </w:rPr>
      </w:pPr>
      <w:r>
        <w:rPr>
          <w:rFonts w:ascii="Cambria" w:eastAsia="Cambria" w:hAnsi="Cambria" w:cs="Cambria"/>
          <w:b/>
          <w:color w:val="222222"/>
        </w:rPr>
        <w:t>Análisis de la oposición sobre el debate general en torno a la Reforma Tributaria</w:t>
      </w:r>
    </w:p>
    <w:p w14:paraId="00000002" w14:textId="11DA81FC" w:rsidR="003F049C" w:rsidRDefault="00D303B3">
      <w:pPr>
        <w:spacing w:before="120" w:after="120"/>
        <w:jc w:val="center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12</w:t>
      </w:r>
      <w:r w:rsidR="00DC3817">
        <w:rPr>
          <w:rFonts w:ascii="Cambria" w:eastAsia="Cambria" w:hAnsi="Cambria" w:cs="Cambria"/>
          <w:color w:val="222222"/>
        </w:rPr>
        <w:t>.03.2019</w:t>
      </w:r>
    </w:p>
    <w:p w14:paraId="00000003" w14:textId="77777777" w:rsidR="003F049C" w:rsidRDefault="007C42CB">
      <w:pPr>
        <w:spacing w:before="120" w:after="120"/>
        <w:jc w:val="center"/>
        <w:rPr>
          <w:rFonts w:ascii="Cambria" w:eastAsia="Cambria" w:hAnsi="Cambria" w:cs="Cambria"/>
        </w:rPr>
      </w:pPr>
      <w:bookmarkStart w:id="0" w:name="_GoBack"/>
      <w:r>
        <w:rPr>
          <w:noProof/>
        </w:rPr>
        <w:pict w14:anchorId="4EC99BB8">
          <v:rect id="_x0000_i1025" style="width:0;height:1.5pt" o:hralign="center" o:hrstd="t" o:hr="t" fillcolor="#a0a0a0" stroked="f"/>
        </w:pict>
      </w:r>
      <w:bookmarkEnd w:id="0"/>
    </w:p>
    <w:p w14:paraId="00000004" w14:textId="77777777" w:rsidR="003F049C" w:rsidRDefault="00DC3817">
      <w:pPr>
        <w:spacing w:before="120" w:after="120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 xml:space="preserve"> </w:t>
      </w:r>
    </w:p>
    <w:p w14:paraId="00000005" w14:textId="4C3D50FE" w:rsidR="003F049C" w:rsidRDefault="00DC3817">
      <w:pPr>
        <w:spacing w:before="120" w:after="120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El proyecto de Modernización Tributaria (Boletín Nº 12043-05) presentado por el ejecutivo se encuentra actu</w:t>
      </w:r>
      <w:r w:rsidR="00E24D10">
        <w:rPr>
          <w:rFonts w:ascii="Cambria" w:eastAsia="Cambria" w:hAnsi="Cambria" w:cs="Cambria"/>
          <w:color w:val="222222"/>
        </w:rPr>
        <w:t>almente  en</w:t>
      </w:r>
      <w:r>
        <w:rPr>
          <w:rFonts w:ascii="Cambria" w:eastAsia="Cambria" w:hAnsi="Cambria" w:cs="Cambria"/>
          <w:color w:val="222222"/>
        </w:rPr>
        <w:t xml:space="preserve"> discusión general en la Comisión de Hacienda de la Cámara de </w:t>
      </w:r>
      <w:r w:rsidR="002523CF">
        <w:rPr>
          <w:rFonts w:ascii="Cambria" w:eastAsia="Cambria" w:hAnsi="Cambria" w:cs="Cambria"/>
          <w:color w:val="222222"/>
        </w:rPr>
        <w:t>Diputados.  L</w:t>
      </w:r>
      <w:r>
        <w:rPr>
          <w:rFonts w:ascii="Cambria" w:eastAsia="Cambria" w:hAnsi="Cambria" w:cs="Cambria"/>
          <w:color w:val="222222"/>
        </w:rPr>
        <w:t xml:space="preserve">uego de haber escuchado a expertos(as) de distintos sectores en las audiencias públicas de la comisión, corresponde votar </w:t>
      </w:r>
      <w:r w:rsidR="002523CF">
        <w:rPr>
          <w:rFonts w:ascii="Cambria" w:eastAsia="Cambria" w:hAnsi="Cambria" w:cs="Cambria"/>
          <w:color w:val="222222"/>
        </w:rPr>
        <w:t xml:space="preserve">en las próximas semanas </w:t>
      </w:r>
      <w:r>
        <w:rPr>
          <w:rFonts w:ascii="Cambria" w:eastAsia="Cambria" w:hAnsi="Cambria" w:cs="Cambria"/>
          <w:color w:val="222222"/>
        </w:rPr>
        <w:t xml:space="preserve">“la idea de legislar”, es decir, si se está o no de acuerdo con la </w:t>
      </w:r>
      <w:r w:rsidR="002523CF">
        <w:rPr>
          <w:rFonts w:ascii="Cambria" w:eastAsia="Cambria" w:hAnsi="Cambria" w:cs="Cambria"/>
          <w:color w:val="222222"/>
        </w:rPr>
        <w:t>orientación general del proyecto</w:t>
      </w:r>
      <w:r>
        <w:rPr>
          <w:rFonts w:ascii="Cambria" w:eastAsia="Cambria" w:hAnsi="Cambria" w:cs="Cambria"/>
          <w:color w:val="222222"/>
        </w:rPr>
        <w:t>, sin entrar aún en las materias más específicas que son objeto de la discusión en particular.</w:t>
      </w:r>
    </w:p>
    <w:p w14:paraId="1632142F" w14:textId="6E8A3E0B" w:rsidR="00D556FB" w:rsidRDefault="00DC3817">
      <w:pPr>
        <w:spacing w:before="120" w:after="120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 xml:space="preserve">Habiendo realizado el análisis técnico </w:t>
      </w:r>
      <w:r w:rsidR="003D7124">
        <w:rPr>
          <w:rFonts w:ascii="Cambria" w:eastAsia="Cambria" w:hAnsi="Cambria" w:cs="Cambria"/>
          <w:color w:val="222222"/>
        </w:rPr>
        <w:t>en profundidad</w:t>
      </w:r>
      <w:r>
        <w:rPr>
          <w:rFonts w:ascii="Cambria" w:eastAsia="Cambria" w:hAnsi="Cambria" w:cs="Cambria"/>
          <w:color w:val="222222"/>
        </w:rPr>
        <w:t xml:space="preserve"> del proyecto del ejecutivo y, tal como hemos planteado en diversas instancias, concordamos en que aún no hay eviden</w:t>
      </w:r>
      <w:r w:rsidR="003D7124">
        <w:rPr>
          <w:rFonts w:ascii="Cambria" w:eastAsia="Cambria" w:hAnsi="Cambria" w:cs="Cambria"/>
          <w:color w:val="222222"/>
        </w:rPr>
        <w:t>cia que nos permita compartir su</w:t>
      </w:r>
      <w:r>
        <w:rPr>
          <w:rFonts w:ascii="Cambria" w:eastAsia="Cambria" w:hAnsi="Cambria" w:cs="Cambria"/>
          <w:color w:val="222222"/>
        </w:rPr>
        <w:t xml:space="preserve"> idea matriz del mismo, porque -entre otras razones- </w:t>
      </w:r>
      <w:r w:rsidR="00D556FB">
        <w:rPr>
          <w:rFonts w:ascii="Cambria" w:eastAsia="Cambria" w:hAnsi="Cambria" w:cs="Cambria"/>
          <w:color w:val="222222"/>
        </w:rPr>
        <w:t xml:space="preserve">consideramos que es regresivo y pone en cuestión la seguridad del fisco  de mantener la actual recaudación tributaria. </w:t>
      </w:r>
    </w:p>
    <w:p w14:paraId="00000006" w14:textId="5382A2C0" w:rsidR="003F049C" w:rsidRDefault="00DC3817">
      <w:pPr>
        <w:spacing w:before="120" w:after="120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 xml:space="preserve"> Luego de la “Mesa técnica” </w:t>
      </w:r>
      <w:r w:rsidR="008F658B">
        <w:rPr>
          <w:rFonts w:ascii="Cambria" w:eastAsia="Cambria" w:hAnsi="Cambria" w:cs="Cambria"/>
          <w:color w:val="222222"/>
        </w:rPr>
        <w:t xml:space="preserve">en la que participaron especialistas de la oposición y del </w:t>
      </w:r>
      <w:r>
        <w:rPr>
          <w:rFonts w:ascii="Cambria" w:eastAsia="Cambria" w:hAnsi="Cambria" w:cs="Cambria"/>
          <w:color w:val="222222"/>
        </w:rPr>
        <w:t>Ministerio de Hacienda, no se formularon nuevas alternativas sobre la idea matriz el proyecto que nos hicieran modificar nuestro diagnóstico sustantivo sobre el mismo. Por esta razón, como diputados</w:t>
      </w:r>
      <w:r w:rsidR="003D7124">
        <w:rPr>
          <w:rFonts w:ascii="Cambria" w:eastAsia="Cambria" w:hAnsi="Cambria" w:cs="Cambria"/>
          <w:color w:val="222222"/>
        </w:rPr>
        <w:t xml:space="preserve"> de</w:t>
      </w:r>
      <w:r>
        <w:rPr>
          <w:rFonts w:ascii="Cambria" w:eastAsia="Cambria" w:hAnsi="Cambria" w:cs="Cambria"/>
          <w:color w:val="222222"/>
        </w:rPr>
        <w:t xml:space="preserve"> oposición tomamos la iniciativa para hacer</w:t>
      </w:r>
      <w:r w:rsidR="003D7124">
        <w:rPr>
          <w:rFonts w:ascii="Cambria" w:eastAsia="Cambria" w:hAnsi="Cambria" w:cs="Cambria"/>
          <w:color w:val="222222"/>
        </w:rPr>
        <w:t xml:space="preserve"> una propuesta constructiva que permita</w:t>
      </w:r>
      <w:r>
        <w:rPr>
          <w:rFonts w:ascii="Cambria" w:eastAsia="Cambria" w:hAnsi="Cambria" w:cs="Cambria"/>
          <w:color w:val="222222"/>
        </w:rPr>
        <w:t xml:space="preserve"> avanzar en el diálogo con el Ejecutivo y así intentar</w:t>
      </w:r>
      <w:r w:rsidR="008F658B">
        <w:rPr>
          <w:rFonts w:ascii="Cambria" w:eastAsia="Cambria" w:hAnsi="Cambria" w:cs="Cambria"/>
          <w:color w:val="222222"/>
        </w:rPr>
        <w:t xml:space="preserve"> arribar a  </w:t>
      </w:r>
      <w:r>
        <w:rPr>
          <w:rFonts w:ascii="Cambria" w:eastAsia="Cambria" w:hAnsi="Cambria" w:cs="Cambria"/>
          <w:color w:val="222222"/>
        </w:rPr>
        <w:t>puntos comunes que permitan avanz</w:t>
      </w:r>
      <w:r w:rsidR="008F658B">
        <w:rPr>
          <w:rFonts w:ascii="Cambria" w:eastAsia="Cambria" w:hAnsi="Cambria" w:cs="Cambria"/>
          <w:color w:val="222222"/>
        </w:rPr>
        <w:t xml:space="preserve">ar en los desafíos que tiene el país </w:t>
      </w:r>
      <w:r>
        <w:rPr>
          <w:rFonts w:ascii="Cambria" w:eastAsia="Cambria" w:hAnsi="Cambria" w:cs="Cambria"/>
          <w:color w:val="222222"/>
        </w:rPr>
        <w:t>en materia tributaria.</w:t>
      </w:r>
    </w:p>
    <w:p w14:paraId="00000007" w14:textId="0A7CEB35" w:rsidR="003F049C" w:rsidRDefault="00DC3817">
      <w:pPr>
        <w:spacing w:before="120" w:after="120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Hay que recordar que las materias tributarias son de iniciativa exclusiva del ejecutivo, razón por la cual se requiere que sea éste qu</w:t>
      </w:r>
      <w:r w:rsidR="008F658B">
        <w:rPr>
          <w:rFonts w:ascii="Cambria" w:eastAsia="Cambria" w:hAnsi="Cambria" w:cs="Cambria"/>
          <w:color w:val="222222"/>
        </w:rPr>
        <w:t>ien presente</w:t>
      </w:r>
      <w:r>
        <w:rPr>
          <w:rFonts w:ascii="Cambria" w:eastAsia="Cambria" w:hAnsi="Cambria" w:cs="Cambria"/>
          <w:color w:val="222222"/>
        </w:rPr>
        <w:t xml:space="preserve"> indicaciones</w:t>
      </w:r>
      <w:r w:rsidR="008F658B">
        <w:rPr>
          <w:rFonts w:ascii="Cambria" w:eastAsia="Cambria" w:hAnsi="Cambria" w:cs="Cambria"/>
          <w:color w:val="222222"/>
        </w:rPr>
        <w:t xml:space="preserve"> que modifiquen el</w:t>
      </w:r>
      <w:r>
        <w:rPr>
          <w:rFonts w:ascii="Cambria" w:eastAsia="Cambria" w:hAnsi="Cambria" w:cs="Cambria"/>
          <w:color w:val="222222"/>
        </w:rPr>
        <w:t xml:space="preserve"> proyecto de ley. Compl</w:t>
      </w:r>
      <w:r w:rsidR="008F658B">
        <w:rPr>
          <w:rFonts w:ascii="Cambria" w:eastAsia="Cambria" w:hAnsi="Cambria" w:cs="Cambria"/>
          <w:color w:val="222222"/>
        </w:rPr>
        <w:t xml:space="preserve">ementariamente, </w:t>
      </w:r>
      <w:r>
        <w:rPr>
          <w:rFonts w:ascii="Cambria" w:eastAsia="Cambria" w:hAnsi="Cambria" w:cs="Cambria"/>
          <w:color w:val="222222"/>
        </w:rPr>
        <w:t>el ejecutivo</w:t>
      </w:r>
      <w:r w:rsidR="008F658B">
        <w:rPr>
          <w:rFonts w:ascii="Cambria" w:eastAsia="Cambria" w:hAnsi="Cambria" w:cs="Cambria"/>
          <w:color w:val="222222"/>
        </w:rPr>
        <w:t xml:space="preserve"> debe rectificar</w:t>
      </w:r>
      <w:r>
        <w:rPr>
          <w:rFonts w:ascii="Cambria" w:eastAsia="Cambria" w:hAnsi="Cambria" w:cs="Cambria"/>
          <w:color w:val="222222"/>
        </w:rPr>
        <w:t xml:space="preserve"> el Informe Financiero </w:t>
      </w:r>
      <w:r w:rsidR="008F658B">
        <w:rPr>
          <w:rFonts w:ascii="Cambria" w:eastAsia="Cambria" w:hAnsi="Cambria" w:cs="Cambria"/>
          <w:color w:val="222222"/>
        </w:rPr>
        <w:t xml:space="preserve">del proyecto según lo declarado </w:t>
      </w:r>
      <w:r>
        <w:rPr>
          <w:rFonts w:ascii="Cambria" w:eastAsia="Cambria" w:hAnsi="Cambria" w:cs="Cambria"/>
          <w:color w:val="222222"/>
        </w:rPr>
        <w:t>e</w:t>
      </w:r>
      <w:r w:rsidR="003D7124">
        <w:rPr>
          <w:rFonts w:ascii="Cambria" w:eastAsia="Cambria" w:hAnsi="Cambria" w:cs="Cambria"/>
          <w:color w:val="222222"/>
        </w:rPr>
        <w:t xml:space="preserve">n la mesa técnica, </w:t>
      </w:r>
      <w:r w:rsidR="008F658B">
        <w:rPr>
          <w:rFonts w:ascii="Cambria" w:eastAsia="Cambria" w:hAnsi="Cambria" w:cs="Cambria"/>
          <w:color w:val="222222"/>
        </w:rPr>
        <w:t xml:space="preserve">respondiendo </w:t>
      </w:r>
      <w:r>
        <w:rPr>
          <w:rFonts w:ascii="Cambria" w:eastAsia="Cambria" w:hAnsi="Cambria" w:cs="Cambria"/>
          <w:color w:val="222222"/>
        </w:rPr>
        <w:t>a las o</w:t>
      </w:r>
      <w:r w:rsidR="008F658B">
        <w:rPr>
          <w:rFonts w:ascii="Cambria" w:eastAsia="Cambria" w:hAnsi="Cambria" w:cs="Cambria"/>
          <w:color w:val="222222"/>
        </w:rPr>
        <w:t xml:space="preserve">bservaciones y preguntas que </w:t>
      </w:r>
      <w:r>
        <w:rPr>
          <w:rFonts w:ascii="Cambria" w:eastAsia="Cambria" w:hAnsi="Cambria" w:cs="Cambria"/>
          <w:color w:val="222222"/>
        </w:rPr>
        <w:t xml:space="preserve"> quedaron pendientes</w:t>
      </w:r>
      <w:r w:rsidR="008F658B">
        <w:rPr>
          <w:rFonts w:ascii="Cambria" w:eastAsia="Cambria" w:hAnsi="Cambria" w:cs="Cambria"/>
          <w:color w:val="222222"/>
        </w:rPr>
        <w:t xml:space="preserve"> y respaldando sus nuevas propuestas    con actualizaciones del</w:t>
      </w:r>
      <w:r>
        <w:rPr>
          <w:rFonts w:ascii="Cambria" w:eastAsia="Cambria" w:hAnsi="Cambria" w:cs="Cambria"/>
          <w:color w:val="222222"/>
        </w:rPr>
        <w:t xml:space="preserve"> Informe Financiero.</w:t>
      </w:r>
    </w:p>
    <w:p w14:paraId="00000008" w14:textId="77777777" w:rsidR="003F049C" w:rsidRDefault="00DC3817">
      <w:pPr>
        <w:spacing w:before="120" w:after="120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 xml:space="preserve"> </w:t>
      </w:r>
    </w:p>
    <w:p w14:paraId="00000009" w14:textId="4F3D2FF4" w:rsidR="003F049C" w:rsidRDefault="00DC3817">
      <w:pPr>
        <w:numPr>
          <w:ilvl w:val="0"/>
          <w:numId w:val="1"/>
        </w:numPr>
        <w:spacing w:before="120" w:after="360"/>
        <w:jc w:val="both"/>
        <w:rPr>
          <w:color w:val="222222"/>
        </w:rPr>
      </w:pPr>
      <w:r>
        <w:rPr>
          <w:rFonts w:ascii="Cambria" w:eastAsia="Cambria" w:hAnsi="Cambria" w:cs="Cambria"/>
          <w:b/>
          <w:color w:val="222222"/>
        </w:rPr>
        <w:t xml:space="preserve">Sobre el sistema semi integrado y el régimen atribuido </w:t>
      </w:r>
      <w:r w:rsidR="003D7124">
        <w:rPr>
          <w:rFonts w:ascii="Cambria" w:eastAsia="Cambria" w:hAnsi="Cambria" w:cs="Cambria"/>
          <w:b/>
          <w:color w:val="222222"/>
        </w:rPr>
        <w:t>consensuados</w:t>
      </w:r>
      <w:r>
        <w:rPr>
          <w:rFonts w:ascii="Cambria" w:eastAsia="Cambria" w:hAnsi="Cambria" w:cs="Cambria"/>
          <w:b/>
          <w:color w:val="222222"/>
        </w:rPr>
        <w:t xml:space="preserve"> en la Reforma Tributaria de 2014</w:t>
      </w:r>
      <w:r>
        <w:rPr>
          <w:rFonts w:ascii="Cambria" w:eastAsia="Cambria" w:hAnsi="Cambria" w:cs="Cambria"/>
          <w:color w:val="222222"/>
        </w:rPr>
        <w:t>.</w:t>
      </w:r>
    </w:p>
    <w:p w14:paraId="0000000A" w14:textId="44BD63DC" w:rsidR="003F049C" w:rsidRDefault="00DC3817">
      <w:pPr>
        <w:spacing w:before="120" w:after="120"/>
        <w:ind w:left="720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Consideramos que la propuesta de reintegración establecida en el proyecto tiene un impacto regresivo en cuanto a la d</w:t>
      </w:r>
      <w:r w:rsidR="008F658B">
        <w:rPr>
          <w:rFonts w:ascii="Cambria" w:eastAsia="Cambria" w:hAnsi="Cambria" w:cs="Cambria"/>
          <w:color w:val="222222"/>
        </w:rPr>
        <w:t>istribución de aportes</w:t>
      </w:r>
      <w:r>
        <w:rPr>
          <w:rFonts w:ascii="Cambria" w:eastAsia="Cambria" w:hAnsi="Cambria" w:cs="Cambria"/>
          <w:color w:val="222222"/>
        </w:rPr>
        <w:t xml:space="preserve"> fiscales. El régimen actual f</w:t>
      </w:r>
      <w:r w:rsidR="008F658B">
        <w:rPr>
          <w:rFonts w:ascii="Cambria" w:eastAsia="Cambria" w:hAnsi="Cambria" w:cs="Cambria"/>
          <w:color w:val="222222"/>
        </w:rPr>
        <w:t xml:space="preserve">ue aprobado en 2014 con respaldo prácticamente </w:t>
      </w:r>
      <w:r w:rsidR="006C47F0">
        <w:rPr>
          <w:rFonts w:ascii="Cambria" w:eastAsia="Cambria" w:hAnsi="Cambria" w:cs="Cambria"/>
          <w:color w:val="222222"/>
        </w:rPr>
        <w:t xml:space="preserve">unánime de las bancadas oficialistas y opositoras, por lo que,  </w:t>
      </w:r>
      <w:r>
        <w:rPr>
          <w:rFonts w:ascii="Cambria" w:eastAsia="Cambria" w:hAnsi="Cambria" w:cs="Cambria"/>
          <w:color w:val="222222"/>
        </w:rPr>
        <w:t>de proponerse modificaciones, éstas deben mantener o mejorar los niveles de progresividad y recaudación,</w:t>
      </w:r>
      <w:r w:rsidR="006C47F0">
        <w:rPr>
          <w:rFonts w:ascii="Cambria" w:eastAsia="Cambria" w:hAnsi="Cambria" w:cs="Cambria"/>
          <w:color w:val="222222"/>
        </w:rPr>
        <w:t xml:space="preserve"> los que no están garantizados en la propuesta actual.  Como </w:t>
      </w:r>
      <w:r>
        <w:rPr>
          <w:rFonts w:ascii="Cambria" w:eastAsia="Cambria" w:hAnsi="Cambria" w:cs="Cambria"/>
          <w:color w:val="222222"/>
        </w:rPr>
        <w:t>recién e</w:t>
      </w:r>
      <w:r w:rsidR="006C47F0">
        <w:rPr>
          <w:rFonts w:ascii="Cambria" w:eastAsia="Cambria" w:hAnsi="Cambria" w:cs="Cambria"/>
          <w:color w:val="222222"/>
        </w:rPr>
        <w:t>ste año conoceremos el impacto</w:t>
      </w:r>
      <w:r>
        <w:rPr>
          <w:rFonts w:ascii="Cambria" w:eastAsia="Cambria" w:hAnsi="Cambria" w:cs="Cambria"/>
          <w:color w:val="222222"/>
        </w:rPr>
        <w:t xml:space="preserve"> de la reforma</w:t>
      </w:r>
      <w:r w:rsidR="003D7124">
        <w:rPr>
          <w:rFonts w:ascii="Cambria" w:eastAsia="Cambria" w:hAnsi="Cambria" w:cs="Cambria"/>
          <w:color w:val="222222"/>
        </w:rPr>
        <w:t xml:space="preserve"> en funcionamiento</w:t>
      </w:r>
      <w:r w:rsidR="006C47F0">
        <w:rPr>
          <w:rFonts w:ascii="Cambria" w:eastAsia="Cambria" w:hAnsi="Cambria" w:cs="Cambria"/>
          <w:color w:val="222222"/>
        </w:rPr>
        <w:t xml:space="preserve"> pleno, es </w:t>
      </w:r>
      <w:r>
        <w:rPr>
          <w:rFonts w:ascii="Cambria" w:eastAsia="Cambria" w:hAnsi="Cambria" w:cs="Cambria"/>
          <w:color w:val="222222"/>
        </w:rPr>
        <w:t xml:space="preserve"> sólo a través de un amplio consenso entre el Gobierno y la oposición</w:t>
      </w:r>
      <w:r w:rsidR="006C47F0">
        <w:rPr>
          <w:rFonts w:ascii="Cambria" w:eastAsia="Cambria" w:hAnsi="Cambria" w:cs="Cambria"/>
          <w:color w:val="222222"/>
        </w:rPr>
        <w:t xml:space="preserve"> que sería posible modificar este aspecto dando garantías de sostenibilidad futura del sistema.</w:t>
      </w:r>
    </w:p>
    <w:p w14:paraId="0000000B" w14:textId="77777777" w:rsidR="003F049C" w:rsidRDefault="003F049C">
      <w:pPr>
        <w:spacing w:before="120" w:after="120"/>
        <w:ind w:left="720"/>
        <w:jc w:val="both"/>
        <w:rPr>
          <w:rFonts w:ascii="Cambria" w:eastAsia="Cambria" w:hAnsi="Cambria" w:cs="Cambria"/>
          <w:color w:val="222222"/>
        </w:rPr>
      </w:pPr>
    </w:p>
    <w:p w14:paraId="0000000C" w14:textId="6E7129DB" w:rsidR="003F049C" w:rsidRDefault="00DC3817">
      <w:pPr>
        <w:numPr>
          <w:ilvl w:val="0"/>
          <w:numId w:val="2"/>
        </w:numPr>
        <w:spacing w:before="120" w:after="360"/>
        <w:jc w:val="both"/>
        <w:rPr>
          <w:color w:val="222222"/>
        </w:rPr>
      </w:pPr>
      <w:r>
        <w:rPr>
          <w:rFonts w:ascii="Cambria" w:eastAsia="Cambria" w:hAnsi="Cambria" w:cs="Cambria"/>
          <w:color w:val="222222"/>
        </w:rPr>
        <w:t xml:space="preserve">Establecida la importancia del punto anterior, estamos dispuestos a encontrar un camino de acuerdo que busque legislar sobre las siguientes materias, sin perjuicio de la posterior discusión en particular, tanto de estas materias como de </w:t>
      </w:r>
      <w:r w:rsidR="006C47F0">
        <w:rPr>
          <w:rFonts w:ascii="Cambria" w:eastAsia="Cambria" w:hAnsi="Cambria" w:cs="Cambria"/>
          <w:color w:val="222222"/>
        </w:rPr>
        <w:t xml:space="preserve">otras </w:t>
      </w:r>
      <w:r>
        <w:rPr>
          <w:rFonts w:ascii="Cambria" w:eastAsia="Cambria" w:hAnsi="Cambria" w:cs="Cambria"/>
          <w:color w:val="222222"/>
        </w:rPr>
        <w:t xml:space="preserve"> que aquí no se señalan:</w:t>
      </w:r>
    </w:p>
    <w:p w14:paraId="0000000D" w14:textId="77777777" w:rsidR="003F049C" w:rsidRDefault="00DC3817">
      <w:pPr>
        <w:spacing w:before="120" w:after="120"/>
        <w:ind w:left="1800" w:hanging="360"/>
        <w:jc w:val="both"/>
        <w:rPr>
          <w:rFonts w:ascii="Cambria" w:eastAsia="Cambria" w:hAnsi="Cambria" w:cs="Cambria"/>
          <w:b/>
          <w:color w:val="222222"/>
        </w:rPr>
      </w:pPr>
      <w:r>
        <w:rPr>
          <w:rFonts w:ascii="Cambria" w:eastAsia="Cambria" w:hAnsi="Cambria" w:cs="Cambria"/>
          <w:b/>
          <w:color w:val="222222"/>
        </w:rPr>
        <w:t>a)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 </w:t>
      </w:r>
      <w:r>
        <w:rPr>
          <w:rFonts w:ascii="Cambria" w:eastAsia="Cambria" w:hAnsi="Cambria" w:cs="Cambria"/>
          <w:b/>
          <w:color w:val="222222"/>
        </w:rPr>
        <w:t>Mejorar la situación de las pymes</w:t>
      </w:r>
    </w:p>
    <w:p w14:paraId="0000000E" w14:textId="74F2B119" w:rsidR="003F049C" w:rsidRDefault="006C47F0">
      <w:pPr>
        <w:spacing w:before="120" w:after="120"/>
        <w:ind w:left="720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lastRenderedPageBreak/>
        <w:t xml:space="preserve">Las barreras de acceso de parte de las Pymes </w:t>
      </w:r>
      <w:r w:rsidR="00DC3817">
        <w:rPr>
          <w:rFonts w:ascii="Cambria" w:eastAsia="Cambria" w:hAnsi="Cambria" w:cs="Cambria"/>
          <w:color w:val="222222"/>
        </w:rPr>
        <w:t xml:space="preserve"> para acceder al actual régim</w:t>
      </w:r>
      <w:r>
        <w:rPr>
          <w:rFonts w:ascii="Cambria" w:eastAsia="Cambria" w:hAnsi="Cambria" w:cs="Cambria"/>
          <w:color w:val="222222"/>
        </w:rPr>
        <w:t xml:space="preserve">en del 14 ter deben ser corregidas y rebajadas para incorporar a todo el universo el que </w:t>
      </w:r>
      <w:r w:rsidR="00F26F2A">
        <w:rPr>
          <w:rFonts w:ascii="Cambria" w:eastAsia="Cambria" w:hAnsi="Cambria" w:cs="Cambria"/>
          <w:color w:val="222222"/>
        </w:rPr>
        <w:t xml:space="preserve">está </w:t>
      </w:r>
      <w:r>
        <w:rPr>
          <w:rFonts w:ascii="Cambria" w:eastAsia="Cambria" w:hAnsi="Cambria" w:cs="Cambria"/>
          <w:color w:val="222222"/>
        </w:rPr>
        <w:t xml:space="preserve"> orientado este </w:t>
      </w:r>
      <w:r w:rsidR="00F26F2A">
        <w:rPr>
          <w:rFonts w:ascii="Cambria" w:eastAsia="Cambria" w:hAnsi="Cambria" w:cs="Cambria"/>
          <w:color w:val="222222"/>
        </w:rPr>
        <w:t>régimen</w:t>
      </w:r>
      <w:r>
        <w:rPr>
          <w:rFonts w:ascii="Cambria" w:eastAsia="Cambria" w:hAnsi="Cambria" w:cs="Cambria"/>
          <w:color w:val="222222"/>
        </w:rPr>
        <w:t xml:space="preserve"> especial </w:t>
      </w:r>
      <w:r w:rsidR="00DC3817">
        <w:rPr>
          <w:rFonts w:ascii="Cambria" w:eastAsia="Cambria" w:hAnsi="Cambria" w:cs="Cambria"/>
          <w:color w:val="222222"/>
        </w:rPr>
        <w:t xml:space="preserve">, </w:t>
      </w:r>
      <w:r w:rsidR="007A7EB6">
        <w:rPr>
          <w:rFonts w:ascii="Cambria" w:eastAsia="Cambria" w:hAnsi="Cambria" w:cs="Cambria"/>
          <w:color w:val="222222"/>
        </w:rPr>
        <w:t>en lugar de crear otro sistema nuevo como propone el E</w:t>
      </w:r>
      <w:r w:rsidR="00DC3817">
        <w:rPr>
          <w:rFonts w:ascii="Cambria" w:eastAsia="Cambria" w:hAnsi="Cambria" w:cs="Cambria"/>
          <w:color w:val="222222"/>
        </w:rPr>
        <w:t xml:space="preserve">jecutivo </w:t>
      </w:r>
      <w:r w:rsidR="007A7EB6">
        <w:rPr>
          <w:rFonts w:ascii="Cambria" w:eastAsia="Cambria" w:hAnsi="Cambria" w:cs="Cambria"/>
          <w:color w:val="222222"/>
        </w:rPr>
        <w:t xml:space="preserve">(“Cláusula Pyme”). En reunión con la totalidad de las asociaciones y gremios del mundo de la pequeña y mediana empresa, esta es la demanda </w:t>
      </w:r>
      <w:r w:rsidR="00F26F2A">
        <w:rPr>
          <w:rFonts w:ascii="Cambria" w:eastAsia="Cambria" w:hAnsi="Cambria" w:cs="Cambria"/>
          <w:color w:val="222222"/>
        </w:rPr>
        <w:t>unánime que hemos hecho nuestra.</w:t>
      </w:r>
      <w:r w:rsidR="007A7EB6">
        <w:rPr>
          <w:rFonts w:ascii="Cambria" w:eastAsia="Cambria" w:hAnsi="Cambria" w:cs="Cambria"/>
          <w:color w:val="222222"/>
        </w:rPr>
        <w:t xml:space="preserve"> Estamos disponibles para establecer facilidades </w:t>
      </w:r>
      <w:r w:rsidR="00DC3817">
        <w:rPr>
          <w:rFonts w:ascii="Cambria" w:eastAsia="Cambria" w:hAnsi="Cambria" w:cs="Cambria"/>
          <w:color w:val="222222"/>
        </w:rPr>
        <w:t xml:space="preserve"> en el pago del FUT </w:t>
      </w:r>
      <w:r w:rsidR="007A7EB6">
        <w:rPr>
          <w:rFonts w:ascii="Cambria" w:eastAsia="Cambria" w:hAnsi="Cambria" w:cs="Cambria"/>
          <w:color w:val="222222"/>
        </w:rPr>
        <w:t xml:space="preserve"> y extender el universo de empresas susceptibles  de acogerse al 14 Ter hasta</w:t>
      </w:r>
      <w:r w:rsidR="00F26F2A">
        <w:rPr>
          <w:rFonts w:ascii="Cambria" w:eastAsia="Cambria" w:hAnsi="Cambria" w:cs="Cambria"/>
          <w:color w:val="222222"/>
        </w:rPr>
        <w:t xml:space="preserve"> 75 mil UF de ingresos anuales.</w:t>
      </w:r>
      <w:r w:rsidR="007A7EB6">
        <w:rPr>
          <w:rFonts w:ascii="Cambria" w:eastAsia="Cambria" w:hAnsi="Cambria" w:cs="Cambria"/>
          <w:color w:val="222222"/>
        </w:rPr>
        <w:t xml:space="preserve"> Todo l</w:t>
      </w:r>
      <w:r w:rsidR="00DC3817">
        <w:rPr>
          <w:rFonts w:ascii="Cambria" w:eastAsia="Cambria" w:hAnsi="Cambria" w:cs="Cambria"/>
          <w:color w:val="222222"/>
        </w:rPr>
        <w:t>o anterior, con el expreso cuidado de</w:t>
      </w:r>
      <w:r w:rsidR="007A7EB6">
        <w:rPr>
          <w:rFonts w:ascii="Cambria" w:eastAsia="Cambria" w:hAnsi="Cambria" w:cs="Cambria"/>
          <w:color w:val="222222"/>
        </w:rPr>
        <w:t xml:space="preserve"> impedir </w:t>
      </w:r>
      <w:r w:rsidR="00DC3817">
        <w:rPr>
          <w:rFonts w:ascii="Cambria" w:eastAsia="Cambria" w:hAnsi="Cambria" w:cs="Cambria"/>
          <w:color w:val="222222"/>
        </w:rPr>
        <w:t xml:space="preserve"> que Sociedades de Inversió</w:t>
      </w:r>
      <w:r w:rsidR="007A7EB6">
        <w:rPr>
          <w:rFonts w:ascii="Cambria" w:eastAsia="Cambria" w:hAnsi="Cambria" w:cs="Cambria"/>
          <w:color w:val="222222"/>
        </w:rPr>
        <w:t xml:space="preserve">n o Grandes Empresas se disfracen de  Pymes </w:t>
      </w:r>
      <w:r w:rsidR="00DC3817">
        <w:rPr>
          <w:rFonts w:ascii="Cambria" w:eastAsia="Cambria" w:hAnsi="Cambria" w:cs="Cambria"/>
          <w:color w:val="222222"/>
        </w:rPr>
        <w:t xml:space="preserve"> </w:t>
      </w:r>
      <w:r w:rsidR="00F26F2A">
        <w:rPr>
          <w:rFonts w:ascii="Cambria" w:eastAsia="Cambria" w:hAnsi="Cambria" w:cs="Cambria"/>
          <w:color w:val="222222"/>
        </w:rPr>
        <w:t>para reducir sus impuestos.</w:t>
      </w:r>
    </w:p>
    <w:p w14:paraId="0000000F" w14:textId="77777777" w:rsidR="003F049C" w:rsidRDefault="003F049C">
      <w:pPr>
        <w:spacing w:before="120" w:after="120"/>
        <w:ind w:left="1800" w:hanging="360"/>
        <w:jc w:val="both"/>
        <w:rPr>
          <w:rFonts w:ascii="Cambria" w:eastAsia="Cambria" w:hAnsi="Cambria" w:cs="Cambria"/>
          <w:b/>
          <w:color w:val="222222"/>
        </w:rPr>
      </w:pPr>
    </w:p>
    <w:p w14:paraId="00000010" w14:textId="77777777" w:rsidR="003F049C" w:rsidRDefault="00DC3817">
      <w:pPr>
        <w:spacing w:before="120" w:after="120"/>
        <w:ind w:left="1800" w:hanging="360"/>
        <w:jc w:val="both"/>
        <w:rPr>
          <w:rFonts w:ascii="Cambria" w:eastAsia="Cambria" w:hAnsi="Cambria" w:cs="Cambria"/>
          <w:b/>
          <w:color w:val="222222"/>
        </w:rPr>
      </w:pPr>
      <w:r>
        <w:rPr>
          <w:rFonts w:ascii="Cambria" w:eastAsia="Cambria" w:hAnsi="Cambria" w:cs="Cambria"/>
          <w:b/>
          <w:color w:val="222222"/>
        </w:rPr>
        <w:t>b)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</w:t>
      </w:r>
      <w:r>
        <w:rPr>
          <w:rFonts w:ascii="Cambria" w:eastAsia="Cambria" w:hAnsi="Cambria" w:cs="Cambria"/>
          <w:b/>
          <w:color w:val="222222"/>
        </w:rPr>
        <w:t>Crear nuevas fuentes de financiamiento para los gobiernos regionales</w:t>
      </w:r>
    </w:p>
    <w:p w14:paraId="00000011" w14:textId="30ACBDE6" w:rsidR="003F049C" w:rsidRDefault="00DC3817">
      <w:pPr>
        <w:spacing w:before="120" w:after="120"/>
        <w:ind w:left="720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Se requiere incluir una materia que genere recursos frescos para los Gobiernos Regionales en este proyecto de ley y, complementariamente,</w:t>
      </w:r>
      <w:r w:rsidR="00F26F2A">
        <w:rPr>
          <w:rFonts w:ascii="Cambria" w:eastAsia="Cambria" w:hAnsi="Cambria" w:cs="Cambria"/>
          <w:color w:val="222222"/>
        </w:rPr>
        <w:t xml:space="preserve"> que el Gobierno comprometa la presentación de un proyecto de ley de financiamiento y responsabilidad fiscal de los Gobiernos</w:t>
      </w:r>
      <w:r w:rsidR="003D7124">
        <w:rPr>
          <w:rFonts w:ascii="Cambria" w:eastAsia="Cambria" w:hAnsi="Cambria" w:cs="Cambria"/>
          <w:color w:val="222222"/>
        </w:rPr>
        <w:t xml:space="preserve"> Regionales</w:t>
      </w:r>
      <w:r w:rsidR="00F26F2A">
        <w:rPr>
          <w:rFonts w:ascii="Cambria" w:eastAsia="Cambria" w:hAnsi="Cambria" w:cs="Cambria"/>
          <w:color w:val="222222"/>
        </w:rPr>
        <w:t xml:space="preserve"> </w:t>
      </w:r>
      <w:r>
        <w:rPr>
          <w:rFonts w:ascii="Cambria" w:eastAsia="Cambria" w:hAnsi="Cambria" w:cs="Cambria"/>
          <w:color w:val="222222"/>
        </w:rPr>
        <w:t>antes del 30 de junio de 2019</w:t>
      </w:r>
      <w:r w:rsidR="00F26F2A">
        <w:rPr>
          <w:rFonts w:ascii="Cambria" w:eastAsia="Cambria" w:hAnsi="Cambria" w:cs="Cambria"/>
          <w:color w:val="222222"/>
        </w:rPr>
        <w:t>.</w:t>
      </w:r>
      <w:r>
        <w:rPr>
          <w:rFonts w:ascii="Cambria" w:eastAsia="Cambria" w:hAnsi="Cambria" w:cs="Cambria"/>
          <w:color w:val="222222"/>
        </w:rPr>
        <w:t xml:space="preserve"> </w:t>
      </w:r>
    </w:p>
    <w:p w14:paraId="00000012" w14:textId="77777777" w:rsidR="003F049C" w:rsidRDefault="003F049C">
      <w:pPr>
        <w:spacing w:before="120" w:after="120"/>
        <w:ind w:left="1800" w:hanging="360"/>
        <w:jc w:val="both"/>
        <w:rPr>
          <w:rFonts w:ascii="Cambria" w:eastAsia="Cambria" w:hAnsi="Cambria" w:cs="Cambria"/>
          <w:b/>
          <w:color w:val="222222"/>
        </w:rPr>
      </w:pPr>
    </w:p>
    <w:p w14:paraId="00000013" w14:textId="77777777" w:rsidR="003F049C" w:rsidRDefault="00DC3817">
      <w:pPr>
        <w:spacing w:before="120" w:after="120"/>
        <w:ind w:left="1800" w:hanging="360"/>
        <w:jc w:val="both"/>
        <w:rPr>
          <w:rFonts w:ascii="Cambria" w:eastAsia="Cambria" w:hAnsi="Cambria" w:cs="Cambria"/>
          <w:b/>
          <w:color w:val="222222"/>
        </w:rPr>
      </w:pPr>
      <w:r>
        <w:rPr>
          <w:rFonts w:ascii="Cambria" w:eastAsia="Cambria" w:hAnsi="Cambria" w:cs="Cambria"/>
          <w:b/>
          <w:color w:val="222222"/>
        </w:rPr>
        <w:t>c)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   </w:t>
      </w:r>
      <w:r>
        <w:rPr>
          <w:rFonts w:ascii="Cambria" w:eastAsia="Cambria" w:hAnsi="Cambria" w:cs="Cambria"/>
          <w:b/>
          <w:color w:val="222222"/>
        </w:rPr>
        <w:t>Fortalecimiento del combate de la elusión y la evasión</w:t>
      </w:r>
    </w:p>
    <w:p w14:paraId="00000014" w14:textId="4504295D" w:rsidR="003F049C" w:rsidRDefault="00DC3817">
      <w:pPr>
        <w:spacing w:before="120" w:after="120"/>
        <w:ind w:left="720"/>
        <w:jc w:val="both"/>
        <w:rPr>
          <w:rFonts w:ascii="Cambria" w:eastAsia="Cambria" w:hAnsi="Cambria" w:cs="Cambria"/>
          <w:b/>
          <w:color w:val="222222"/>
        </w:rPr>
      </w:pPr>
      <w:r>
        <w:rPr>
          <w:rFonts w:ascii="Cambria" w:eastAsia="Cambria" w:hAnsi="Cambria" w:cs="Cambria"/>
          <w:color w:val="222222"/>
        </w:rPr>
        <w:t xml:space="preserve">Estamos disponibles para concordar una mejor redacción en materia de la Norma General </w:t>
      </w:r>
      <w:proofErr w:type="spellStart"/>
      <w:r>
        <w:rPr>
          <w:rFonts w:ascii="Cambria" w:eastAsia="Cambria" w:hAnsi="Cambria" w:cs="Cambria"/>
          <w:color w:val="222222"/>
        </w:rPr>
        <w:t>Antielusión</w:t>
      </w:r>
      <w:proofErr w:type="spellEnd"/>
      <w:r>
        <w:rPr>
          <w:rFonts w:ascii="Cambria" w:eastAsia="Cambria" w:hAnsi="Cambria" w:cs="Cambria"/>
          <w:color w:val="222222"/>
        </w:rPr>
        <w:t xml:space="preserve">, </w:t>
      </w:r>
      <w:r w:rsidR="00F5005F">
        <w:rPr>
          <w:rFonts w:ascii="Cambria" w:eastAsia="Cambria" w:hAnsi="Cambria" w:cs="Cambria"/>
          <w:color w:val="222222"/>
        </w:rPr>
        <w:t xml:space="preserve">asegurando su eficacia en desalentar y castigar las conductas elusivas. </w:t>
      </w:r>
      <w:r>
        <w:rPr>
          <w:rFonts w:ascii="Cambria" w:eastAsia="Cambria" w:hAnsi="Cambria" w:cs="Cambria"/>
          <w:color w:val="222222"/>
        </w:rPr>
        <w:t>Complementariamente, creemos que se debe fortalecer el equipamiento tecnológico del SII para combatir la elusión y la evasión. Esto es de especial importancia considerando que el ejecutivo plantea que la implementación de la boleta electrónica generará una mayor recaudación a través de una mejor fiscalización.</w:t>
      </w:r>
    </w:p>
    <w:p w14:paraId="00000015" w14:textId="77777777" w:rsidR="003F049C" w:rsidRDefault="003F049C">
      <w:pPr>
        <w:spacing w:before="120" w:after="120"/>
        <w:ind w:left="1800" w:hanging="360"/>
        <w:jc w:val="both"/>
        <w:rPr>
          <w:rFonts w:ascii="Cambria" w:eastAsia="Cambria" w:hAnsi="Cambria" w:cs="Cambria"/>
          <w:b/>
          <w:color w:val="222222"/>
        </w:rPr>
      </w:pPr>
    </w:p>
    <w:p w14:paraId="00000016" w14:textId="77777777" w:rsidR="003F049C" w:rsidRDefault="00DC3817">
      <w:pPr>
        <w:spacing w:before="120" w:after="120"/>
        <w:ind w:left="1800" w:hanging="360"/>
        <w:jc w:val="both"/>
        <w:rPr>
          <w:rFonts w:ascii="Cambria" w:eastAsia="Cambria" w:hAnsi="Cambria" w:cs="Cambria"/>
          <w:b/>
          <w:color w:val="222222"/>
        </w:rPr>
      </w:pPr>
      <w:r>
        <w:rPr>
          <w:rFonts w:ascii="Cambria" w:eastAsia="Cambria" w:hAnsi="Cambria" w:cs="Cambria"/>
          <w:b/>
          <w:color w:val="222222"/>
        </w:rPr>
        <w:t>e)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   </w:t>
      </w:r>
      <w:r>
        <w:rPr>
          <w:rFonts w:ascii="Cambria" w:eastAsia="Cambria" w:hAnsi="Cambria" w:cs="Cambria"/>
          <w:b/>
          <w:color w:val="222222"/>
        </w:rPr>
        <w:t>Avanzar en alternativas más eficientes y directas para incentivar la inversión y el crecimiento de largo plazo.</w:t>
      </w:r>
    </w:p>
    <w:p w14:paraId="00000017" w14:textId="7FBED672" w:rsidR="003F049C" w:rsidRDefault="00DC3817">
      <w:pPr>
        <w:spacing w:before="120" w:after="120"/>
        <w:ind w:left="720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Considerando que este es un principio compartido por el gobierno y la oposición, reafirmamos que se deben buscar en conjunto alternativas más eficientes y directas para incentivar la inversión y el crecimiento de largo plazo y, una vez consensuadas, ser incluidas en el proyecto mediante indicación del ejecutivo durante su tramitación. Con todo, si estas medidas implic</w:t>
      </w:r>
      <w:r w:rsidR="00F5005F">
        <w:rPr>
          <w:rFonts w:ascii="Cambria" w:eastAsia="Cambria" w:hAnsi="Cambria" w:cs="Cambria"/>
          <w:color w:val="222222"/>
        </w:rPr>
        <w:t xml:space="preserve">an una menor recaudación, deben ser compensadas con alternativas que recauden similar magnitud de recursos. </w:t>
      </w:r>
    </w:p>
    <w:p w14:paraId="6D58B905" w14:textId="634B7B44" w:rsidR="00F5005F" w:rsidRDefault="00F5005F" w:rsidP="00F5005F">
      <w:pPr>
        <w:spacing w:before="120" w:after="120"/>
        <w:ind w:left="720" w:firstLine="720"/>
        <w:jc w:val="both"/>
        <w:rPr>
          <w:rFonts w:ascii="Cambria" w:eastAsia="Cambria" w:hAnsi="Cambria" w:cs="Cambria"/>
          <w:b/>
          <w:color w:val="222222"/>
        </w:rPr>
      </w:pPr>
      <w:r>
        <w:rPr>
          <w:rFonts w:ascii="Cambria" w:eastAsia="Cambria" w:hAnsi="Cambria" w:cs="Cambria"/>
          <w:b/>
          <w:color w:val="222222"/>
        </w:rPr>
        <w:t>f) Eliminar del proyecto la propuesta de elevar el umbral de exención del IVA a la construcción</w:t>
      </w:r>
    </w:p>
    <w:p w14:paraId="22279352" w14:textId="52B26787" w:rsidR="00F5005F" w:rsidRDefault="00F5005F" w:rsidP="00F5005F">
      <w:pPr>
        <w:spacing w:before="120" w:after="120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b/>
          <w:color w:val="222222"/>
        </w:rPr>
        <w:tab/>
      </w:r>
      <w:r>
        <w:rPr>
          <w:rFonts w:ascii="Cambria" w:eastAsia="Cambria" w:hAnsi="Cambria" w:cs="Cambria"/>
          <w:color w:val="222222"/>
        </w:rPr>
        <w:t xml:space="preserve">Porque se trata de una iniciativa </w:t>
      </w:r>
      <w:proofErr w:type="spellStart"/>
      <w:r>
        <w:rPr>
          <w:rFonts w:ascii="Cambria" w:eastAsia="Cambria" w:hAnsi="Cambria" w:cs="Cambria"/>
          <w:color w:val="222222"/>
        </w:rPr>
        <w:t>desfocalizada</w:t>
      </w:r>
      <w:proofErr w:type="spellEnd"/>
      <w:r>
        <w:rPr>
          <w:rFonts w:ascii="Cambria" w:eastAsia="Cambria" w:hAnsi="Cambria" w:cs="Cambria"/>
          <w:color w:val="222222"/>
        </w:rPr>
        <w:t>, que beneficia a personas que pueden adquirir viviendas de 6 a 7 mil UF para lo cual deben situarse en tramos altos de ingresos. Mucho más eficiente para el objetivo declarado es fortalecer el programa de subsidio a la vivienda orientado a la clase media.</w:t>
      </w:r>
    </w:p>
    <w:p w14:paraId="6DFDE543" w14:textId="77777777" w:rsidR="003D7124" w:rsidRPr="00F5005F" w:rsidRDefault="003D7124" w:rsidP="00F5005F">
      <w:pPr>
        <w:spacing w:before="120" w:after="120"/>
        <w:jc w:val="both"/>
        <w:rPr>
          <w:rFonts w:ascii="Cambria" w:eastAsia="Cambria" w:hAnsi="Cambria" w:cs="Cambria"/>
          <w:color w:val="222222"/>
        </w:rPr>
      </w:pPr>
    </w:p>
    <w:p w14:paraId="00000018" w14:textId="77777777" w:rsidR="003F049C" w:rsidRDefault="003F049C">
      <w:pPr>
        <w:spacing w:before="120" w:after="120"/>
        <w:jc w:val="both"/>
      </w:pPr>
    </w:p>
    <w:p w14:paraId="00000019" w14:textId="77777777" w:rsidR="003F049C" w:rsidRDefault="003F049C">
      <w:pPr>
        <w:spacing w:before="120" w:after="120"/>
        <w:jc w:val="both"/>
      </w:pPr>
    </w:p>
    <w:p w14:paraId="0000001A" w14:textId="77777777" w:rsidR="003F049C" w:rsidRDefault="003F049C">
      <w:pPr>
        <w:spacing w:before="120" w:after="120"/>
        <w:jc w:val="both"/>
      </w:pPr>
    </w:p>
    <w:p w14:paraId="2B10BB54" w14:textId="77777777" w:rsidR="006F7566" w:rsidRDefault="006F7566">
      <w:pPr>
        <w:spacing w:before="120" w:after="120"/>
        <w:jc w:val="center"/>
      </w:pPr>
    </w:p>
    <w:p w14:paraId="3BEF5FF4" w14:textId="77777777" w:rsidR="006F7566" w:rsidRDefault="006F7566">
      <w:pPr>
        <w:spacing w:before="120" w:after="120"/>
        <w:jc w:val="center"/>
      </w:pPr>
    </w:p>
    <w:p w14:paraId="6940F6B2" w14:textId="77777777" w:rsidR="006F7566" w:rsidRDefault="006F7566">
      <w:pPr>
        <w:spacing w:before="120" w:after="120"/>
        <w:jc w:val="center"/>
      </w:pPr>
    </w:p>
    <w:p w14:paraId="7C44E972" w14:textId="77777777" w:rsidR="006F7566" w:rsidRDefault="006F7566">
      <w:pPr>
        <w:spacing w:before="120" w:after="120"/>
        <w:jc w:val="center"/>
      </w:pPr>
    </w:p>
    <w:p w14:paraId="7ABCB1FF" w14:textId="77777777" w:rsidR="006F7566" w:rsidRDefault="006F7566">
      <w:pPr>
        <w:spacing w:before="120" w:after="120"/>
        <w:jc w:val="center"/>
      </w:pPr>
    </w:p>
    <w:p w14:paraId="34057FF2" w14:textId="77777777" w:rsidR="006F7566" w:rsidRDefault="006F7566">
      <w:pPr>
        <w:spacing w:before="120" w:after="120"/>
        <w:jc w:val="center"/>
      </w:pPr>
    </w:p>
    <w:p w14:paraId="520A2794" w14:textId="77777777" w:rsidR="006F7566" w:rsidRDefault="006F7566">
      <w:pPr>
        <w:spacing w:before="120" w:after="120"/>
        <w:jc w:val="center"/>
      </w:pPr>
    </w:p>
    <w:p w14:paraId="073CE188" w14:textId="77777777" w:rsidR="006F7566" w:rsidRDefault="006F7566" w:rsidP="006F7566">
      <w:pPr>
        <w:spacing w:before="120" w:after="120"/>
        <w:jc w:val="center"/>
      </w:pPr>
    </w:p>
    <w:p w14:paraId="0000001B" w14:textId="154BB9BC" w:rsidR="003F049C" w:rsidRDefault="00DC3817" w:rsidP="006F7566">
      <w:pPr>
        <w:spacing w:before="120" w:after="120"/>
        <w:jc w:val="center"/>
      </w:pPr>
      <w:r>
        <w:t>Pablo Lorenzini</w:t>
      </w:r>
      <w:r>
        <w:tab/>
      </w:r>
      <w:r>
        <w:tab/>
        <w:t>Daniel Nuñez</w:t>
      </w:r>
      <w:r>
        <w:tab/>
      </w:r>
      <w:r>
        <w:tab/>
        <w:t>Manuel Monsalve</w:t>
      </w:r>
      <w:r>
        <w:tab/>
      </w:r>
      <w:r>
        <w:tab/>
        <w:t>Marcelo Schilling</w:t>
      </w:r>
    </w:p>
    <w:p w14:paraId="0000001C" w14:textId="77777777" w:rsidR="003F049C" w:rsidRDefault="003F049C">
      <w:pPr>
        <w:spacing w:before="120" w:after="120"/>
        <w:jc w:val="center"/>
      </w:pPr>
    </w:p>
    <w:p w14:paraId="15212B2E" w14:textId="77777777" w:rsidR="006F7566" w:rsidRDefault="006F7566">
      <w:pPr>
        <w:spacing w:before="120" w:after="120"/>
        <w:jc w:val="center"/>
      </w:pPr>
    </w:p>
    <w:p w14:paraId="34823AEF" w14:textId="77777777" w:rsidR="006F7566" w:rsidRDefault="006F7566">
      <w:pPr>
        <w:spacing w:before="120" w:after="120"/>
        <w:jc w:val="center"/>
      </w:pPr>
    </w:p>
    <w:p w14:paraId="031BB7A6" w14:textId="77777777" w:rsidR="006F7566" w:rsidRDefault="006F7566">
      <w:pPr>
        <w:spacing w:before="120" w:after="120"/>
        <w:jc w:val="center"/>
      </w:pPr>
    </w:p>
    <w:p w14:paraId="59610018" w14:textId="77777777" w:rsidR="006F7566" w:rsidRDefault="006F7566">
      <w:pPr>
        <w:spacing w:before="120" w:after="120"/>
        <w:jc w:val="center"/>
      </w:pPr>
    </w:p>
    <w:p w14:paraId="794D79AD" w14:textId="77777777" w:rsidR="006F7566" w:rsidRDefault="006F7566">
      <w:pPr>
        <w:spacing w:before="120" w:after="120"/>
        <w:jc w:val="center"/>
      </w:pPr>
    </w:p>
    <w:p w14:paraId="2C41D457" w14:textId="77777777" w:rsidR="006F7566" w:rsidRDefault="006F7566">
      <w:pPr>
        <w:spacing w:before="120" w:after="120"/>
        <w:jc w:val="center"/>
      </w:pPr>
    </w:p>
    <w:p w14:paraId="747BD60F" w14:textId="77777777" w:rsidR="006F7566" w:rsidRDefault="006F7566">
      <w:pPr>
        <w:spacing w:before="120" w:after="120"/>
        <w:jc w:val="center"/>
      </w:pPr>
    </w:p>
    <w:p w14:paraId="4DCFF017" w14:textId="77777777" w:rsidR="006F7566" w:rsidRDefault="006F7566">
      <w:pPr>
        <w:spacing w:before="120" w:after="120"/>
        <w:jc w:val="center"/>
      </w:pPr>
    </w:p>
    <w:p w14:paraId="3D3A78E6" w14:textId="77777777" w:rsidR="006F7566" w:rsidRDefault="006F7566">
      <w:pPr>
        <w:spacing w:before="120" w:after="120"/>
        <w:jc w:val="center"/>
      </w:pPr>
    </w:p>
    <w:p w14:paraId="0000001D" w14:textId="77777777" w:rsidR="003F049C" w:rsidRDefault="003F049C">
      <w:pPr>
        <w:spacing w:before="120" w:after="120"/>
        <w:jc w:val="center"/>
      </w:pPr>
    </w:p>
    <w:p w14:paraId="0000001E" w14:textId="77777777" w:rsidR="003F049C" w:rsidRDefault="003F049C">
      <w:pPr>
        <w:spacing w:before="120" w:after="120"/>
        <w:jc w:val="center"/>
      </w:pPr>
    </w:p>
    <w:p w14:paraId="0000001F" w14:textId="77777777" w:rsidR="003F049C" w:rsidRDefault="00DC3817">
      <w:pPr>
        <w:spacing w:before="120" w:after="120"/>
        <w:jc w:val="center"/>
      </w:pPr>
      <w:r>
        <w:t>José Miguel Ortiz</w:t>
      </w:r>
      <w:r>
        <w:tab/>
      </w:r>
      <w:r>
        <w:tab/>
        <w:t>Pepe Auth</w:t>
      </w:r>
      <w:r>
        <w:tab/>
      </w:r>
      <w:r>
        <w:tab/>
        <w:t>Giorgio Jackson</w:t>
      </w:r>
      <w:r>
        <w:tab/>
      </w:r>
      <w:r>
        <w:tab/>
        <w:t>Ricardo Celis</w:t>
      </w:r>
    </w:p>
    <w:p w14:paraId="00000020" w14:textId="77777777" w:rsidR="003F049C" w:rsidRDefault="003F049C">
      <w:pPr>
        <w:spacing w:before="120" w:after="120"/>
        <w:jc w:val="both"/>
      </w:pPr>
      <w:bookmarkStart w:id="1" w:name="491fl1q8s80h" w:colFirst="0" w:colLast="0"/>
      <w:bookmarkEnd w:id="1"/>
    </w:p>
    <w:sectPr w:rsidR="003F049C">
      <w:headerReference w:type="even" r:id="rId9"/>
      <w:headerReference w:type="default" r:id="rId10"/>
      <w:headerReference w:type="first" r:id="rId11"/>
      <w:pgSz w:w="11909" w:h="16834"/>
      <w:pgMar w:top="1440" w:right="990" w:bottom="109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F5F26" w14:textId="77777777" w:rsidR="007C42CB" w:rsidRDefault="007C42CB" w:rsidP="00D303B3">
      <w:pPr>
        <w:spacing w:line="240" w:lineRule="auto"/>
      </w:pPr>
      <w:r>
        <w:separator/>
      </w:r>
    </w:p>
  </w:endnote>
  <w:endnote w:type="continuationSeparator" w:id="0">
    <w:p w14:paraId="4281AEF3" w14:textId="77777777" w:rsidR="007C42CB" w:rsidRDefault="007C42CB" w:rsidP="00D303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A5C05" w14:textId="77777777" w:rsidR="007C42CB" w:rsidRDefault="007C42CB" w:rsidP="00D303B3">
      <w:pPr>
        <w:spacing w:line="240" w:lineRule="auto"/>
      </w:pPr>
      <w:r>
        <w:separator/>
      </w:r>
    </w:p>
  </w:footnote>
  <w:footnote w:type="continuationSeparator" w:id="0">
    <w:p w14:paraId="59FC1F7B" w14:textId="77777777" w:rsidR="007C42CB" w:rsidRDefault="007C42CB" w:rsidP="00D303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0D9CC" w14:textId="4230DB7C" w:rsidR="00D303B3" w:rsidRDefault="00D303B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12E62" w14:textId="67610C32" w:rsidR="00D303B3" w:rsidRPr="00D303B3" w:rsidRDefault="00D303B3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766A1" w14:textId="310C5BF7" w:rsidR="00D303B3" w:rsidRDefault="00D303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0032"/>
    <w:multiLevelType w:val="multilevel"/>
    <w:tmpl w:val="3E6623A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4C14935"/>
    <w:multiLevelType w:val="multilevel"/>
    <w:tmpl w:val="6CA0D6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9C"/>
    <w:rsid w:val="00064149"/>
    <w:rsid w:val="002523CF"/>
    <w:rsid w:val="002F09A2"/>
    <w:rsid w:val="002F0BEF"/>
    <w:rsid w:val="003D7124"/>
    <w:rsid w:val="003F049C"/>
    <w:rsid w:val="004415FF"/>
    <w:rsid w:val="004A43FF"/>
    <w:rsid w:val="005E42AF"/>
    <w:rsid w:val="006C47F0"/>
    <w:rsid w:val="006F7566"/>
    <w:rsid w:val="007A7EB6"/>
    <w:rsid w:val="007C42CB"/>
    <w:rsid w:val="008F658B"/>
    <w:rsid w:val="00AB7999"/>
    <w:rsid w:val="00D25ADD"/>
    <w:rsid w:val="00D303B3"/>
    <w:rsid w:val="00D556FB"/>
    <w:rsid w:val="00DC3817"/>
    <w:rsid w:val="00E24D10"/>
    <w:rsid w:val="00F2590E"/>
    <w:rsid w:val="00F26F2A"/>
    <w:rsid w:val="00F5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303B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3B3"/>
  </w:style>
  <w:style w:type="paragraph" w:styleId="Piedepgina">
    <w:name w:val="footer"/>
    <w:basedOn w:val="Normal"/>
    <w:link w:val="PiedepginaCar"/>
    <w:uiPriority w:val="99"/>
    <w:unhideWhenUsed/>
    <w:rsid w:val="00D303B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3B3"/>
  </w:style>
  <w:style w:type="paragraph" w:styleId="Textodeglobo">
    <w:name w:val="Balloon Text"/>
    <w:basedOn w:val="Normal"/>
    <w:link w:val="TextodegloboCar"/>
    <w:uiPriority w:val="99"/>
    <w:semiHidden/>
    <w:unhideWhenUsed/>
    <w:rsid w:val="002523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3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303B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3B3"/>
  </w:style>
  <w:style w:type="paragraph" w:styleId="Piedepgina">
    <w:name w:val="footer"/>
    <w:basedOn w:val="Normal"/>
    <w:link w:val="PiedepginaCar"/>
    <w:uiPriority w:val="99"/>
    <w:unhideWhenUsed/>
    <w:rsid w:val="00D303B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3B3"/>
  </w:style>
  <w:style w:type="paragraph" w:styleId="Textodeglobo">
    <w:name w:val="Balloon Text"/>
    <w:basedOn w:val="Normal"/>
    <w:link w:val="TextodegloboCar"/>
    <w:uiPriority w:val="99"/>
    <w:semiHidden/>
    <w:unhideWhenUsed/>
    <w:rsid w:val="002523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F4C98A2-32C6-44A8-B5D3-5A245D92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Auth Stewart</dc:creator>
  <cp:lastModifiedBy>Felipe Brion</cp:lastModifiedBy>
  <cp:revision>2</cp:revision>
  <cp:lastPrinted>2019-03-13T20:53:00Z</cp:lastPrinted>
  <dcterms:created xsi:type="dcterms:W3CDTF">2019-03-13T22:46:00Z</dcterms:created>
  <dcterms:modified xsi:type="dcterms:W3CDTF">2019-03-13T22:46:00Z</dcterms:modified>
</cp:coreProperties>
</file>